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ED2648" w:rsidP="00ED26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ED2648" w:rsidP="00ED26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ED2648" w:rsidP="00ED26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Title of the paper</w:t>
      </w:r>
    </w:p>
    <w:p w:rsidR="00ED2648" w:rsidP="00ED264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ED2648" w:rsidP="00114718">
      <w:pPr>
        <w:spacing w:line="480" w:lineRule="auto"/>
        <w:ind w:firstLine="720"/>
        <w:jc w:val="both"/>
        <w:rPr>
          <w:rFonts w:ascii="Times New Roman" w:hAnsi="Times New Roman" w:cs="Times New Roman"/>
          <w:sz w:val="24"/>
          <w:szCs w:val="24"/>
        </w:rPr>
      </w:pPr>
    </w:p>
    <w:p w:rsidR="00225AD3"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Social media has been argued to offer an avenue for the formation of global networks. Individuals on social media are easily connected to a network that cuts across different administrati</w:t>
      </w:r>
      <w:r w:rsidR="000268C1">
        <w:rPr>
          <w:rFonts w:ascii="Times New Roman" w:hAnsi="Times New Roman" w:cs="Times New Roman"/>
          <w:sz w:val="24"/>
          <w:szCs w:val="24"/>
        </w:rPr>
        <w:t>ve boundaries. Crooks et al. (2014</w:t>
      </w:r>
      <w:r w:rsidRPr="00114718">
        <w:rPr>
          <w:rFonts w:ascii="Times New Roman" w:hAnsi="Times New Roman" w:cs="Times New Roman"/>
          <w:sz w:val="24"/>
          <w:szCs w:val="24"/>
        </w:rPr>
        <w:t xml:space="preserve">) argue that the interaction and international networks formed on social media are largely citizen-driven thus creating the social movements that in turn exists on a global scale. Castells </w:t>
      </w:r>
      <w:r w:rsidR="000268C1">
        <w:rPr>
          <w:rFonts w:ascii="Times New Roman" w:hAnsi="Times New Roman" w:cs="Times New Roman"/>
          <w:sz w:val="24"/>
          <w:szCs w:val="24"/>
        </w:rPr>
        <w:t xml:space="preserve">(2009) </w:t>
      </w:r>
      <w:r w:rsidRPr="00114718">
        <w:rPr>
          <w:rFonts w:ascii="Times New Roman" w:hAnsi="Times New Roman" w:cs="Times New Roman"/>
          <w:sz w:val="24"/>
          <w:szCs w:val="24"/>
        </w:rPr>
        <w:t xml:space="preserve">argues that the self mass communication </w:t>
      </w:r>
      <w:r w:rsidRPr="00114718" w:rsidR="0011456A">
        <w:rPr>
          <w:rFonts w:ascii="Times New Roman" w:hAnsi="Times New Roman" w:cs="Times New Roman"/>
          <w:sz w:val="24"/>
          <w:szCs w:val="24"/>
        </w:rPr>
        <w:t>on social media translates into a global movement and that participants on social media can actively use social media sites to broadcast events, for example, the Arab Spring. Some authors have argued that cross-border dissemination of information has been made possible through the public sphere created on social media platforms.
</w:t>
      </w:r>
    </w:p>
    <w:p w:rsidR="0011456A"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 xml:space="preserve">The study of the international network formed by social media sites has been considered an important aspect since it sheds light on the extent to which social movements have taken. This paper, therefore, aims to point out whether </w:t>
      </w:r>
      <w:r w:rsidRPr="00114718" w:rsidR="00BE602E">
        <w:rPr>
          <w:rFonts w:ascii="Times New Roman" w:hAnsi="Times New Roman" w:cs="Times New Roman"/>
          <w:sz w:val="24"/>
          <w:szCs w:val="24"/>
        </w:rPr>
        <w:t xml:space="preserve">the international networks formed on social media sites follow the orders of the existing world system. The study </w:t>
      </w:r>
      <w:r w:rsidRPr="00114718" w:rsidR="00596714">
        <w:rPr>
          <w:rFonts w:ascii="Times New Roman" w:hAnsi="Times New Roman" w:cs="Times New Roman"/>
          <w:sz w:val="24"/>
          <w:szCs w:val="24"/>
        </w:rPr>
        <w:t>focused</w:t>
      </w:r>
      <w:r w:rsidRPr="00114718" w:rsidR="00BE602E">
        <w:rPr>
          <w:rFonts w:ascii="Times New Roman" w:hAnsi="Times New Roman" w:cs="Times New Roman"/>
          <w:sz w:val="24"/>
          <w:szCs w:val="24"/>
        </w:rPr>
        <w:t xml:space="preserve"> on twitter </w:t>
      </w:r>
      <w:r w:rsidRPr="00114718" w:rsidR="00596714">
        <w:rPr>
          <w:rFonts w:ascii="Times New Roman" w:hAnsi="Times New Roman" w:cs="Times New Roman"/>
          <w:sz w:val="24"/>
          <w:szCs w:val="24"/>
        </w:rPr>
        <w:t xml:space="preserve">as an international network formed by social media by drawing illustrations from other world systems and theories. Following a standard set of hypotheses and methods, the study aimed to determine the presence of twitter in </w:t>
      </w:r>
      <w:r w:rsidRPr="00114718" w:rsidR="006142A8">
        <w:rPr>
          <w:rFonts w:ascii="Times New Roman" w:hAnsi="Times New Roman" w:cs="Times New Roman"/>
          <w:sz w:val="24"/>
          <w:szCs w:val="24"/>
        </w:rPr>
        <w:t>Hong Kong</w:t>
      </w:r>
      <w:r w:rsidRPr="00114718" w:rsidR="00596714">
        <w:rPr>
          <w:rFonts w:ascii="Times New Roman" w:hAnsi="Times New Roman" w:cs="Times New Roman"/>
          <w:sz w:val="24"/>
          <w:szCs w:val="24"/>
        </w:rPr>
        <w:t>.</w:t>
      </w:r>
    </w:p>
    <w:p w:rsidR="006142A8"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 xml:space="preserve">Some research questions were framed to determine this influence in the Occupy </w:t>
      </w:r>
      <w:r w:rsidRPr="00114718">
        <w:rPr>
          <w:rFonts w:ascii="Times New Roman" w:hAnsi="Times New Roman" w:cs="Times New Roman"/>
          <w:sz w:val="24"/>
          <w:szCs w:val="24"/>
        </w:rPr>
        <w:t>Central Movement; Research Question 1: Does the structure of the international network formed on Twitter around the Hong Kong Occupy Central Movement follow the existing order of the world system?</w:t>
      </w:r>
    </w:p>
    <w:p w:rsidR="00514DE2"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Hypothesis 1: A country/territory’s national income (a widely used benchmark for positions in</w:t>
      </w:r>
      <w:r w:rsidRPr="00114718">
        <w:rPr>
          <w:rFonts w:ascii="Times New Roman" w:hAnsi="Times New Roman" w:cs="Times New Roman"/>
          <w:sz w:val="24"/>
          <w:szCs w:val="24"/>
        </w:rPr>
        <w:t xml:space="preserve"> </w:t>
      </w:r>
      <w:r w:rsidRPr="00114718">
        <w:rPr>
          <w:rFonts w:ascii="Times New Roman" w:hAnsi="Times New Roman" w:cs="Times New Roman"/>
          <w:sz w:val="24"/>
          <w:szCs w:val="24"/>
        </w:rPr>
        <w:t>the world system) is positively associated with its centrality in the international network formed</w:t>
      </w:r>
      <w:r w:rsidRPr="00114718">
        <w:rPr>
          <w:rFonts w:ascii="Times New Roman" w:hAnsi="Times New Roman" w:cs="Times New Roman"/>
          <w:sz w:val="24"/>
          <w:szCs w:val="24"/>
        </w:rPr>
        <w:t xml:space="preserve"> </w:t>
      </w:r>
      <w:r w:rsidRPr="00114718">
        <w:rPr>
          <w:rFonts w:ascii="Times New Roman" w:hAnsi="Times New Roman" w:cs="Times New Roman"/>
          <w:sz w:val="24"/>
          <w:szCs w:val="24"/>
        </w:rPr>
        <w:t>on Twitter.</w:t>
      </w:r>
    </w:p>
    <w:p w:rsidR="00514DE2"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The results from this study indicated a strong connection of social media</w:t>
      </w:r>
      <w:r w:rsidRPr="00114718" w:rsidR="001A15F6">
        <w:rPr>
          <w:rFonts w:ascii="Times New Roman" w:hAnsi="Times New Roman" w:cs="Times New Roman"/>
          <w:sz w:val="24"/>
          <w:szCs w:val="24"/>
        </w:rPr>
        <w:t xml:space="preserve"> around the Occupy Central Movement. The study indicated a high level of online connectivity through twitter indicating a large proportion of tweets could have been disseminated within a local territory.
</w:t>
      </w:r>
    </w:p>
    <w:p w:rsidR="00876125"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 xml:space="preserve">This study started by considering one of the most prominent </w:t>
      </w:r>
      <w:r w:rsidRPr="00114718" w:rsidR="00146219">
        <w:rPr>
          <w:rFonts w:ascii="Times New Roman" w:hAnsi="Times New Roman" w:cs="Times New Roman"/>
          <w:sz w:val="24"/>
          <w:szCs w:val="24"/>
        </w:rPr>
        <w:t>immigrant movements in the US in which over 100, 000 students walked out of their classes in solidarity to defend the rights of immigrants (Malloy, 463). These protests and walkouts were in response to the illegal immigration acts that were passed by the House of Representatives that considered unregistered immigrants and those who assisted them as felons. Shore argues that these protests were mainly coordinated through online social media postings, emails, and text messages that were aimed at mobilizing collective action. Brodock et</w:t>
      </w:r>
      <w:r w:rsidRPr="00114718" w:rsidR="00F75A9A">
        <w:rPr>
          <w:rFonts w:ascii="Times New Roman" w:hAnsi="Times New Roman" w:cs="Times New Roman"/>
          <w:sz w:val="24"/>
          <w:szCs w:val="24"/>
        </w:rPr>
        <w:t xml:space="preserve"> al. (2009) argue that social media acts </w:t>
      </w:r>
      <w:r w:rsidRPr="00114718">
        <w:rPr>
          <w:rFonts w:ascii="Times New Roman" w:hAnsi="Times New Roman" w:cs="Times New Roman"/>
          <w:sz w:val="24"/>
          <w:szCs w:val="24"/>
        </w:rPr>
        <w:t>as a gateway to digital activism. They argue that revolutions could be inspired by social media and online sites. Fowler</w:t>
      </w:r>
      <w:r w:rsidRPr="00114718" w:rsidR="000268C1">
        <w:rPr>
          <w:rFonts w:ascii="Times New Roman" w:hAnsi="Times New Roman" w:cs="Times New Roman"/>
          <w:sz w:val="24"/>
          <w:szCs w:val="24"/>
        </w:rPr>
        <w:t>, (</w:t>
      </w:r>
      <w:r w:rsidRPr="00114718">
        <w:rPr>
          <w:rFonts w:ascii="Times New Roman" w:hAnsi="Times New Roman" w:cs="Times New Roman"/>
          <w:sz w:val="24"/>
          <w:szCs w:val="24"/>
        </w:rPr>
        <w:t>2012) indicates an example of online initiated revolutions such as the Facebook revolutions in the Arab world which kicked off through social media and inspired protests through the Arab world.
</w:t>
      </w:r>
    </w:p>
    <w:p w:rsidR="00F656B5"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 xml:space="preserve">It is however noted that the contribution of social media activism remains </w:t>
      </w:r>
      <w:r w:rsidRPr="00114718" w:rsidR="007B556A">
        <w:rPr>
          <w:rFonts w:ascii="Times New Roman" w:hAnsi="Times New Roman" w:cs="Times New Roman"/>
          <w:sz w:val="24"/>
          <w:szCs w:val="24"/>
        </w:rPr>
        <w:t>unknown and</w:t>
      </w:r>
      <w:r w:rsidRPr="00114718">
        <w:rPr>
          <w:rFonts w:ascii="Times New Roman" w:hAnsi="Times New Roman" w:cs="Times New Roman"/>
          <w:sz w:val="24"/>
          <w:szCs w:val="24"/>
        </w:rPr>
        <w:t xml:space="preserve"> it is important to carry out further research activities to determine the usefulness of online communication to activism.</w:t>
      </w:r>
      <w:r w:rsidRPr="00114718" w:rsidR="007B556A">
        <w:rPr>
          <w:rFonts w:ascii="Times New Roman" w:hAnsi="Times New Roman" w:cs="Times New Roman"/>
          <w:sz w:val="24"/>
          <w:szCs w:val="24"/>
        </w:rPr>
        <w:t xml:space="preserve"> Tilly</w:t>
      </w:r>
      <w:r w:rsidR="000268C1">
        <w:rPr>
          <w:rFonts w:ascii="Times New Roman" w:hAnsi="Times New Roman" w:cs="Times New Roman"/>
          <w:sz w:val="24"/>
          <w:szCs w:val="24"/>
        </w:rPr>
        <w:t>, (1978</w:t>
      </w:r>
      <w:r w:rsidRPr="00114718" w:rsidR="007B556A">
        <w:rPr>
          <w:rFonts w:ascii="Times New Roman" w:hAnsi="Times New Roman" w:cs="Times New Roman"/>
          <w:sz w:val="24"/>
          <w:szCs w:val="24"/>
        </w:rPr>
        <w:t>) argues that social media ensures passive compliance among different participants to help create collective action.  Social media has for a long time used for the passage of activist's information (Gamson and Wolffeld, 1993) unlike the main</w:t>
      </w:r>
      <w:r w:rsidRPr="00114718" w:rsidR="007B556A">
        <w:rPr>
          <w:rFonts w:ascii="Times New Roman" w:hAnsi="Times New Roman" w:cs="Times New Roman"/>
          <w:sz w:val="24"/>
          <w:szCs w:val="24"/>
        </w:rPr>
        <w:t xml:space="preserve">stream media which has been found to discredit activist actions or completely covering them up (McLeod &amp;Hertog, 1999). It is indicated that activists how now turned to alternative media such as blogs, independent sites or even social media networks. The use of the internet has been found to </w:t>
      </w:r>
      <w:r w:rsidRPr="00114718" w:rsidR="00EB5C1B">
        <w:rPr>
          <w:rFonts w:ascii="Times New Roman" w:hAnsi="Times New Roman" w:cs="Times New Roman"/>
          <w:sz w:val="24"/>
          <w:szCs w:val="24"/>
        </w:rPr>
        <w:t>represent another safer way through which activists can bypass gatekeepers who may censor and control their messages. The findings of this study indicated activists employed online tools as devices for activism primarily to pass their activist mess</w:t>
      </w:r>
      <w:r w:rsidRPr="00114718">
        <w:rPr>
          <w:rFonts w:ascii="Times New Roman" w:hAnsi="Times New Roman" w:cs="Times New Roman"/>
          <w:sz w:val="24"/>
          <w:szCs w:val="24"/>
        </w:rPr>
        <w:t>ages to their target audience. This study confirmed Tilly’s arguments that suggested the use of social media as a mobilization site and raising awa</w:t>
      </w:r>
      <w:r w:rsidR="000268C1">
        <w:rPr>
          <w:rFonts w:ascii="Times New Roman" w:hAnsi="Times New Roman" w:cs="Times New Roman"/>
          <w:sz w:val="24"/>
          <w:szCs w:val="24"/>
        </w:rPr>
        <w:t>reness among the general public (Tilly, 1978).</w:t>
      </w:r>
    </w:p>
    <w:p w:rsidR="001A15F6"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 xml:space="preserve">The two studies represented similar themes about social media use such as; social media </w:t>
      </w:r>
      <w:r w:rsidRPr="00114718" w:rsidR="00AF7D9A">
        <w:rPr>
          <w:rFonts w:ascii="Times New Roman" w:hAnsi="Times New Roman" w:cs="Times New Roman"/>
          <w:sz w:val="24"/>
          <w:szCs w:val="24"/>
        </w:rPr>
        <w:t>offers an avenue through the mobilization of international support that could be sought. The findings according to the first study suggested that through the creation of social media citizen-driven networks, that further enhanced the flow of information and communication, the people in the Occupy Central Movement were able to a one interconnected territorial level network. The second also indicated that through the application of social media tools, activists were able to create appropriate and particular messages that were mainly aimed to reach their target audiences. Just like the first study, social media postings could be used to mobilize collective action.</w:t>
      </w:r>
      <w:r w:rsidRPr="00114718">
        <w:rPr>
          <w:rFonts w:ascii="Times New Roman" w:hAnsi="Times New Roman" w:cs="Times New Roman"/>
          <w:sz w:val="24"/>
          <w:szCs w:val="24"/>
        </w:rPr>
        <w:t xml:space="preserve"> </w:t>
      </w:r>
    </w:p>
    <w:p w:rsidR="0062088C" w:rsidRPr="00114718" w:rsidP="00114718">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It is, however, important to note that the basis of examination on which the two studies relied was different, the first study aimed to determine whether globalization on social media was determined by the existing order of the world system. The second study, however, focused on finding out the influence of social media on activism and mobilization aimed at ensuring collective action.
</w:t>
      </w:r>
    </w:p>
    <w:p w:rsidR="00114718" w:rsidP="000268C1">
      <w:pPr>
        <w:spacing w:line="480" w:lineRule="auto"/>
        <w:ind w:firstLine="720"/>
        <w:jc w:val="both"/>
        <w:rPr>
          <w:rFonts w:ascii="Times New Roman" w:hAnsi="Times New Roman" w:cs="Times New Roman"/>
          <w:sz w:val="24"/>
          <w:szCs w:val="24"/>
        </w:rPr>
      </w:pPr>
      <w:r w:rsidRPr="00114718">
        <w:rPr>
          <w:rFonts w:ascii="Times New Roman" w:hAnsi="Times New Roman" w:cs="Times New Roman"/>
          <w:sz w:val="24"/>
          <w:szCs w:val="24"/>
        </w:rPr>
        <w:t>The use of national income to determine if the social media networks still followed the existing order of the world system by carrying a multivariate analysis of the national income, could be considered as a limitation since the national income does not have the largest predicting power</w:t>
      </w:r>
      <w:r w:rsidRPr="00114718" w:rsidR="006F7316">
        <w:rPr>
          <w:rFonts w:ascii="Times New Roman" w:hAnsi="Times New Roman" w:cs="Times New Roman"/>
          <w:sz w:val="24"/>
          <w:szCs w:val="24"/>
        </w:rPr>
        <w:t xml:space="preserve"> and instead, the territorial political grievances were found to be the strongest predictor. I, however, agree with the authors on the role played by social media in connecting people with a specified territory. I also agree with the findings of the other study which indicated that economic factors could not be used to determine the centrality in the international network but rather political grievances were found to be a strong factor.
</w:t>
      </w:r>
    </w:p>
    <w:p w:rsidR="000268C1" w:rsidP="000268C1">
      <w:pPr>
        <w:spacing w:line="480" w:lineRule="auto"/>
        <w:ind w:firstLine="720"/>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0268C1">
      <w:pPr>
        <w:spacing w:line="480" w:lineRule="auto"/>
        <w:jc w:val="both"/>
        <w:rPr>
          <w:rFonts w:ascii="Times New Roman" w:hAnsi="Times New Roman" w:cs="Times New Roman"/>
          <w:sz w:val="24"/>
          <w:szCs w:val="24"/>
        </w:rPr>
      </w:pPr>
    </w:p>
    <w:p w:rsidR="00ED2648" w:rsidP="00BA233C">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BA233C" w:rsidP="00BA233C">
      <w:pPr>
        <w:spacing w:line="480" w:lineRule="auto"/>
        <w:ind w:left="720" w:hanging="720"/>
        <w:jc w:val="both"/>
        <w:rPr>
          <w:rFonts w:ascii="Times New Roman" w:hAnsi="Times New Roman" w:cs="Times New Roman"/>
          <w:sz w:val="24"/>
          <w:szCs w:val="24"/>
        </w:rPr>
      </w:pPr>
      <w:r w:rsidRPr="00ED2648">
        <w:rPr>
          <w:rFonts w:ascii="Times New Roman" w:hAnsi="Times New Roman" w:cs="Times New Roman"/>
          <w:sz w:val="24"/>
          <w:szCs w:val="24"/>
        </w:rPr>
        <w:t>Brodock, K., Joyce, M., &amp; Zaeck, T. (2009). Digital Activism Survey Report 2009. Retrieved from</w:t>
      </w:r>
      <w:r>
        <w:rPr>
          <w:rFonts w:ascii="Times New Roman" w:hAnsi="Times New Roman" w:cs="Times New Roman"/>
          <w:sz w:val="24"/>
          <w:szCs w:val="24"/>
        </w:rPr>
        <w:t xml:space="preserve"> </w:t>
      </w:r>
      <w:hyperlink r:id="rId4" w:history="1">
        <w:r w:rsidRPr="00F76A31">
          <w:rPr>
            <w:rStyle w:val="Hyperlink"/>
            <w:rFonts w:ascii="Times New Roman" w:hAnsi="Times New Roman" w:cs="Times New Roman"/>
            <w:sz w:val="24"/>
            <w:szCs w:val="24"/>
          </w:rPr>
          <w:t>http://www.digiactive.org/wpcontent/uploads/Research4_SurveyReport2009.pdf</w:t>
        </w:r>
      </w:hyperlink>
    </w:p>
    <w:p w:rsidR="00BA233C" w:rsidP="00BA233C">
      <w:pPr>
        <w:spacing w:line="480" w:lineRule="auto"/>
        <w:ind w:left="720" w:hanging="720"/>
        <w:jc w:val="both"/>
        <w:rPr>
          <w:rFonts w:ascii="Times New Roman" w:hAnsi="Times New Roman" w:cs="Times New Roman"/>
          <w:sz w:val="24"/>
          <w:szCs w:val="24"/>
        </w:rPr>
      </w:pPr>
      <w:r w:rsidRPr="00ED2648">
        <w:rPr>
          <w:rFonts w:ascii="Times New Roman" w:hAnsi="Times New Roman" w:cs="Times New Roman"/>
          <w:sz w:val="24"/>
          <w:szCs w:val="24"/>
        </w:rPr>
        <w:t xml:space="preserve">Castells, M. (2001). </w:t>
      </w:r>
      <w:r w:rsidRPr="00ED2648">
        <w:rPr>
          <w:rFonts w:ascii="Times New Roman" w:hAnsi="Times New Roman" w:cs="Times New Roman"/>
          <w:i/>
          <w:iCs/>
          <w:sz w:val="24"/>
          <w:szCs w:val="24"/>
        </w:rPr>
        <w:t>The Internet galaxy: Reflections on the Internet, business and society</w:t>
      </w:r>
      <w:r w:rsidRPr="00ED2648">
        <w:rPr>
          <w:rFonts w:ascii="Times New Roman" w:hAnsi="Times New Roman" w:cs="Times New Roman"/>
          <w:sz w:val="24"/>
          <w:szCs w:val="24"/>
        </w:rPr>
        <w:t>. Oxford: OxfordUniversity Press</w:t>
      </w:r>
    </w:p>
    <w:p w:rsidR="00BA233C" w:rsidP="00BA233C">
      <w:pPr>
        <w:spacing w:line="480" w:lineRule="auto"/>
        <w:ind w:left="720" w:hanging="720"/>
        <w:jc w:val="both"/>
        <w:rPr>
          <w:rFonts w:ascii="Times New Roman" w:hAnsi="Times New Roman" w:cs="Times New Roman"/>
          <w:sz w:val="24"/>
          <w:szCs w:val="24"/>
        </w:rPr>
      </w:pPr>
      <w:r w:rsidRPr="000268C1">
        <w:rPr>
          <w:rFonts w:ascii="Times New Roman" w:hAnsi="Times New Roman" w:cs="Times New Roman"/>
          <w:sz w:val="24"/>
          <w:szCs w:val="24"/>
        </w:rPr>
        <w:t>Castells, M. (2009). Communication power. Oxford, England: Oxford University Press.</w:t>
      </w:r>
    </w:p>
    <w:p w:rsidR="00BA233C" w:rsidP="00BA233C">
      <w:pPr>
        <w:spacing w:line="480" w:lineRule="auto"/>
        <w:ind w:left="720" w:hanging="720"/>
        <w:jc w:val="both"/>
        <w:rPr>
          <w:rFonts w:ascii="Times New Roman" w:hAnsi="Times New Roman" w:cs="Times New Roman"/>
          <w:sz w:val="24"/>
          <w:szCs w:val="24"/>
        </w:rPr>
      </w:pPr>
      <w:r w:rsidRPr="000268C1">
        <w:rPr>
          <w:rFonts w:ascii="Times New Roman" w:hAnsi="Times New Roman" w:cs="Times New Roman"/>
          <w:sz w:val="24"/>
          <w:szCs w:val="24"/>
        </w:rPr>
        <w:t>Crooks, A., Masad, D., Croitoru, A., Cotnoir, A., Stefanidis, A., &amp; Radzikowski, J. (2014). International</w:t>
      </w:r>
      <w:r>
        <w:rPr>
          <w:rFonts w:ascii="Times New Roman" w:hAnsi="Times New Roman" w:cs="Times New Roman"/>
          <w:sz w:val="24"/>
          <w:szCs w:val="24"/>
        </w:rPr>
        <w:t xml:space="preserve"> </w:t>
      </w:r>
      <w:r w:rsidRPr="000268C1">
        <w:rPr>
          <w:rFonts w:ascii="Times New Roman" w:hAnsi="Times New Roman" w:cs="Times New Roman"/>
          <w:sz w:val="24"/>
          <w:szCs w:val="24"/>
        </w:rPr>
        <w:t>relations: State-driven and citizen-driven networks. Social Science Computer Review, 32, 205–220. DOI:10.1177/0894439313506851
</w:t>
      </w:r>
    </w:p>
    <w:p w:rsidR="00BA233C" w:rsidP="00BA233C">
      <w:pPr>
        <w:spacing w:line="480" w:lineRule="auto"/>
        <w:ind w:left="720" w:hanging="720"/>
        <w:jc w:val="both"/>
        <w:rPr>
          <w:rFonts w:ascii="Times New Roman" w:hAnsi="Times New Roman" w:cs="Times New Roman"/>
          <w:sz w:val="24"/>
          <w:szCs w:val="24"/>
        </w:rPr>
      </w:pPr>
      <w:r w:rsidRPr="00ED2648">
        <w:rPr>
          <w:rFonts w:ascii="Times New Roman" w:hAnsi="Times New Roman" w:cs="Times New Roman"/>
          <w:sz w:val="24"/>
          <w:szCs w:val="24"/>
        </w:rPr>
        <w:t xml:space="preserve">Fowler, G. A. (2012, Oct.5). Facebook: One billion and counting. </w:t>
      </w:r>
      <w:r w:rsidRPr="00ED2648">
        <w:rPr>
          <w:rFonts w:ascii="Times New Roman" w:hAnsi="Times New Roman" w:cs="Times New Roman"/>
          <w:i/>
          <w:iCs/>
          <w:sz w:val="24"/>
          <w:szCs w:val="24"/>
        </w:rPr>
        <w:t>The Wall Street Journal</w:t>
      </w:r>
      <w:r w:rsidRPr="00ED2648">
        <w:rPr>
          <w:rFonts w:ascii="Times New Roman" w:hAnsi="Times New Roman" w:cs="Times New Roman"/>
          <w:sz w:val="24"/>
          <w:szCs w:val="24"/>
        </w:rPr>
        <w:t>, p. B1.</w:t>
      </w:r>
    </w:p>
    <w:p w:rsidR="00BA233C" w:rsidP="00BA233C">
      <w:pPr>
        <w:spacing w:line="480" w:lineRule="auto"/>
        <w:ind w:left="720" w:hanging="720"/>
        <w:jc w:val="both"/>
        <w:rPr>
          <w:rFonts w:ascii="Times New Roman" w:hAnsi="Times New Roman" w:cs="Times New Roman"/>
          <w:sz w:val="24"/>
          <w:szCs w:val="24"/>
        </w:rPr>
      </w:pPr>
      <w:r w:rsidRPr="000268C1">
        <w:rPr>
          <w:rFonts w:ascii="Times New Roman" w:hAnsi="Times New Roman" w:cs="Times New Roman"/>
          <w:sz w:val="24"/>
          <w:szCs w:val="24"/>
        </w:rPr>
        <w:t>Gamson, W. A. (1992). Talking politics. New York, NY: Cambridge University Press</w:t>
      </w:r>
    </w:p>
    <w:p w:rsidR="00BA233C" w:rsidP="00BA233C">
      <w:pPr>
        <w:spacing w:line="480" w:lineRule="auto"/>
        <w:ind w:left="720" w:hanging="720"/>
        <w:jc w:val="both"/>
        <w:rPr>
          <w:rFonts w:ascii="Times New Roman" w:hAnsi="Times New Roman" w:cs="Times New Roman"/>
          <w:sz w:val="24"/>
          <w:szCs w:val="24"/>
        </w:rPr>
      </w:pPr>
      <w:r w:rsidRPr="00ED2648">
        <w:rPr>
          <w:rFonts w:ascii="Times New Roman" w:hAnsi="Times New Roman" w:cs="Times New Roman"/>
          <w:sz w:val="24"/>
          <w:szCs w:val="24"/>
        </w:rPr>
        <w:t xml:space="preserve">Gamson,W., &amp;Woldsfeld, G. (1993). Movements and media as interacting systems. </w:t>
      </w:r>
      <w:r w:rsidRPr="00ED2648">
        <w:rPr>
          <w:rFonts w:ascii="Times New Roman" w:hAnsi="Times New Roman" w:cs="Times New Roman"/>
          <w:i/>
          <w:iCs/>
          <w:sz w:val="24"/>
          <w:szCs w:val="24"/>
        </w:rPr>
        <w:t>Annals of</w:t>
      </w:r>
      <w:r>
        <w:rPr>
          <w:rFonts w:ascii="Times New Roman" w:hAnsi="Times New Roman" w:cs="Times New Roman"/>
          <w:i/>
          <w:iCs/>
          <w:sz w:val="24"/>
          <w:szCs w:val="24"/>
        </w:rPr>
        <w:t xml:space="preserve"> </w:t>
      </w:r>
      <w:r w:rsidRPr="00ED2648">
        <w:rPr>
          <w:rFonts w:ascii="Times New Roman" w:hAnsi="Times New Roman" w:cs="Times New Roman"/>
          <w:i/>
          <w:iCs/>
          <w:sz w:val="24"/>
          <w:szCs w:val="24"/>
        </w:rPr>
        <w:t xml:space="preserve">American Academy of Political and Social Science </w:t>
      </w:r>
      <w:r w:rsidRPr="00ED2648">
        <w:rPr>
          <w:rFonts w:ascii="Times New Roman" w:hAnsi="Times New Roman" w:cs="Times New Roman"/>
          <w:sz w:val="24"/>
          <w:szCs w:val="24"/>
        </w:rPr>
        <w:t>528, 114–125.</w:t>
      </w:r>
    </w:p>
    <w:p w:rsidR="00BA233C" w:rsidP="00BA233C">
      <w:pPr>
        <w:spacing w:line="480" w:lineRule="auto"/>
        <w:ind w:left="720" w:hanging="720"/>
        <w:jc w:val="both"/>
        <w:rPr>
          <w:rFonts w:ascii="Times New Roman" w:hAnsi="Times New Roman" w:cs="Times New Roman"/>
          <w:iCs/>
          <w:sz w:val="24"/>
          <w:szCs w:val="24"/>
        </w:rPr>
      </w:pPr>
      <w:r w:rsidRPr="00ED2648">
        <w:rPr>
          <w:rFonts w:ascii="Times New Roman" w:hAnsi="Times New Roman" w:cs="Times New Roman"/>
          <w:iCs/>
          <w:sz w:val="24"/>
          <w:szCs w:val="24"/>
        </w:rPr>
        <w:t xml:space="preserve">Malloy, T. (2006, March 24). Immigration rallies draw thousands nationwide. The Associated Press Newswires. Retrieved from </w:t>
      </w:r>
      <w:hyperlink r:id="rId5" w:history="1">
        <w:r w:rsidRPr="00F76A31">
          <w:rPr>
            <w:rStyle w:val="Hyperlink"/>
            <w:rFonts w:ascii="Times New Roman" w:hAnsi="Times New Roman" w:cs="Times New Roman"/>
            <w:iCs/>
            <w:sz w:val="24"/>
            <w:szCs w:val="24"/>
          </w:rPr>
          <w:t>http://goo.gl/fzFoC</w:t>
        </w:r>
      </w:hyperlink>
    </w:p>
    <w:p w:rsidR="00BA233C" w:rsidP="00BA233C">
      <w:pPr>
        <w:spacing w:line="480" w:lineRule="auto"/>
        <w:ind w:left="720" w:hanging="720"/>
        <w:jc w:val="both"/>
        <w:rPr>
          <w:rFonts w:ascii="Times New Roman" w:hAnsi="Times New Roman" w:cs="Times New Roman"/>
          <w:iCs/>
          <w:sz w:val="24"/>
          <w:szCs w:val="24"/>
        </w:rPr>
      </w:pPr>
      <w:r w:rsidRPr="00ED2648">
        <w:rPr>
          <w:rFonts w:ascii="Times New Roman" w:hAnsi="Times New Roman" w:cs="Times New Roman"/>
          <w:iCs/>
          <w:sz w:val="24"/>
          <w:szCs w:val="24"/>
        </w:rPr>
        <w:t>McLeod, D. M., &amp; Hertog, J. K. (1999). Social control, social change and the mass media’s role in the</w:t>
      </w:r>
      <w:r>
        <w:rPr>
          <w:rFonts w:ascii="Times New Roman" w:hAnsi="Times New Roman" w:cs="Times New Roman"/>
          <w:iCs/>
          <w:sz w:val="24"/>
          <w:szCs w:val="24"/>
        </w:rPr>
        <w:t xml:space="preserve"> </w:t>
      </w:r>
      <w:r w:rsidRPr="00ED2648">
        <w:rPr>
          <w:rFonts w:ascii="Times New Roman" w:hAnsi="Times New Roman" w:cs="Times New Roman"/>
          <w:iCs/>
          <w:sz w:val="24"/>
          <w:szCs w:val="24"/>
        </w:rPr>
        <w:t xml:space="preserve">regulation of protest groups. In D. Demers &amp; K. Viswanath (Eds.), </w:t>
      </w:r>
      <w:r w:rsidRPr="00ED2648">
        <w:rPr>
          <w:rFonts w:ascii="Times New Roman" w:hAnsi="Times New Roman" w:cs="Times New Roman"/>
          <w:i/>
          <w:iCs/>
          <w:sz w:val="24"/>
          <w:szCs w:val="24"/>
        </w:rPr>
        <w:t>Mass media, social control and</w:t>
      </w:r>
      <w:r>
        <w:rPr>
          <w:rFonts w:ascii="Times New Roman" w:hAnsi="Times New Roman" w:cs="Times New Roman"/>
          <w:i/>
          <w:iCs/>
          <w:sz w:val="24"/>
          <w:szCs w:val="24"/>
        </w:rPr>
        <w:t xml:space="preserve"> </w:t>
      </w:r>
      <w:r w:rsidRPr="00ED2648">
        <w:rPr>
          <w:rFonts w:ascii="Times New Roman" w:hAnsi="Times New Roman" w:cs="Times New Roman"/>
          <w:i/>
          <w:iCs/>
          <w:sz w:val="24"/>
          <w:szCs w:val="24"/>
        </w:rPr>
        <w:t xml:space="preserve">social change: A macrosocial perspective </w:t>
      </w:r>
      <w:r w:rsidRPr="00ED2648">
        <w:rPr>
          <w:rFonts w:ascii="Times New Roman" w:hAnsi="Times New Roman" w:cs="Times New Roman"/>
          <w:iCs/>
          <w:sz w:val="24"/>
          <w:szCs w:val="24"/>
        </w:rPr>
        <w:t>(pp. 305–330). Ames: Iowa State University Press.</w:t>
      </w:r>
    </w:p>
    <w:p w:rsidR="00BA233C" w:rsidP="00BA233C">
      <w:pPr>
        <w:spacing w:line="480" w:lineRule="auto"/>
        <w:ind w:left="720" w:hanging="720"/>
        <w:jc w:val="both"/>
        <w:rPr>
          <w:rFonts w:ascii="Times New Roman" w:hAnsi="Times New Roman" w:cs="Times New Roman"/>
          <w:iCs/>
          <w:sz w:val="24"/>
          <w:szCs w:val="24"/>
        </w:rPr>
      </w:pPr>
      <w:r w:rsidRPr="00ED2648">
        <w:rPr>
          <w:rFonts w:ascii="Times New Roman" w:hAnsi="Times New Roman" w:cs="Times New Roman"/>
          <w:iCs/>
          <w:sz w:val="24"/>
          <w:szCs w:val="24"/>
        </w:rPr>
        <w:t xml:space="preserve">Tilly, C. (1978). </w:t>
      </w:r>
      <w:r w:rsidRPr="00ED2648">
        <w:rPr>
          <w:rFonts w:ascii="Times New Roman" w:hAnsi="Times New Roman" w:cs="Times New Roman"/>
          <w:i/>
          <w:iCs/>
          <w:sz w:val="24"/>
          <w:szCs w:val="24"/>
        </w:rPr>
        <w:t>From mobilization to revolution</w:t>
      </w:r>
      <w:r w:rsidRPr="00ED2648">
        <w:rPr>
          <w:rFonts w:ascii="Times New Roman" w:hAnsi="Times New Roman" w:cs="Times New Roman"/>
          <w:iCs/>
          <w:sz w:val="24"/>
          <w:szCs w:val="24"/>
        </w:rPr>
        <w:t>. Reading, MA: Addison-Wesley</w:t>
      </w:r>
    </w:p>
    <w:p w:rsidR="00ED2648" w:rsidRPr="00ED2648" w:rsidP="00ED2648">
      <w:pPr>
        <w:spacing w:line="480" w:lineRule="auto"/>
        <w:jc w:val="both"/>
        <w:rPr>
          <w:rFonts w:ascii="Times New Roman" w:hAnsi="Times New Roman" w:cs="Times New Roman"/>
          <w:iCs/>
          <w:sz w:val="24"/>
          <w:szCs w:val="24"/>
        </w:rPr>
      </w:pPr>
    </w:p>
    <w:sectPr w:rsidSect="00ED2648">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200472"/>
      <w:docPartObj>
        <w:docPartGallery w:val="Page Numbers (Top of Page)"/>
        <w:docPartUnique/>
      </w:docPartObj>
    </w:sdtPr>
    <w:sdtContent>
      <w:p w:rsidR="00ED2648">
        <w:pPr>
          <w:pStyle w:val="Header"/>
          <w:jc w:val="right"/>
        </w:pPr>
        <w:r>
          <w:fldChar w:fldCharType="begin"/>
        </w:r>
        <w:r>
          <w:instrText xml:space="preserve"> PAGE   \* MERGEFORMAT </w:instrText>
        </w:r>
        <w:r>
          <w:fldChar w:fldCharType="separate"/>
        </w:r>
        <w:r w:rsidR="00BA233C">
          <w:rPr>
            <w:noProof/>
          </w:rPr>
          <w:t>7</w:t>
        </w:r>
        <w:r w:rsidR="00BA233C">
          <w:rPr>
            <w:noProof/>
          </w:rPr>
          <w:fldChar w:fldCharType="end"/>
        </w:r>
      </w:p>
    </w:sdtContent>
  </w:sdt>
  <w:p w:rsidR="00ED2648" w:rsidRPr="00ED2648" w:rsidP="00ED2648">
    <w:pPr>
      <w:pStyle w:val="Header"/>
      <w:rPr>
        <w:rFonts w:ascii="Times New Roman" w:hAnsi="Times New Roman" w:cs="Times New Roman"/>
        <w:sz w:val="24"/>
        <w:szCs w:val="24"/>
      </w:rPr>
    </w:pPr>
    <w:r w:rsidRPr="00ED2648">
      <w:rPr>
        <w:rFonts w:ascii="Times New Roman" w:hAnsi="Times New Roman" w:cs="Times New Roman"/>
        <w:sz w:val="24"/>
        <w:szCs w:val="24"/>
      </w:rPr>
      <w:t>SOCIAL MEDIA AND COMMUNICATION</w:t>
    </w:r>
  </w:p>
  <w:p w:rsidR="00ED264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5200470"/>
      <w:docPartObj>
        <w:docPartGallery w:val="Page Numbers (Top of Page)"/>
        <w:docPartUnique/>
      </w:docPartObj>
    </w:sdtPr>
    <w:sdtContent>
      <w:p w:rsidR="00ED2648" w:rsidRPr="00ED2648" w:rsidP="00ED2648">
        <w:pPr>
          <w:pStyle w:val="Header"/>
          <w:rPr>
            <w:rFonts w:ascii="Times New Roman" w:hAnsi="Times New Roman" w:cs="Times New Roman"/>
            <w:sz w:val="24"/>
            <w:szCs w:val="24"/>
          </w:rPr>
        </w:pPr>
        <w:r w:rsidRPr="00ED2648">
          <w:rPr>
            <w:rFonts w:ascii="Times New Roman" w:hAnsi="Times New Roman" w:cs="Times New Roman"/>
            <w:sz w:val="24"/>
            <w:szCs w:val="24"/>
          </w:rPr>
          <w:t>Running head: SOCIAL MEDIA AND COMMUNICATION</w:t>
        </w:r>
      </w:p>
      <w:p w:rsidR="00ED2648">
        <w:pPr>
          <w:pStyle w:val="Header"/>
          <w:jc w:val="right"/>
        </w:pPr>
        <w:r>
          <w:fldChar w:fldCharType="begin"/>
        </w:r>
        <w:r>
          <w:instrText xml:space="preserve"> PAGE   \* MERGEFORMAT </w:instrText>
        </w:r>
        <w:r>
          <w:fldChar w:fldCharType="separate"/>
        </w:r>
        <w:r w:rsidR="00BA233C">
          <w:rPr>
            <w:noProof/>
          </w:rPr>
          <w:t>1</w:t>
        </w:r>
        <w:r w:rsidR="00BA233C">
          <w:rPr>
            <w:noProof/>
          </w:rPr>
          <w:fldChar w:fldCharType="end"/>
        </w:r>
      </w:p>
    </w:sdtContent>
  </w:sdt>
  <w:p w:rsidR="00ED264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E71C54"/>
    <w:rsid w:val="000268C1"/>
    <w:rsid w:val="0011456A"/>
    <w:rsid w:val="00114718"/>
    <w:rsid w:val="00146219"/>
    <w:rsid w:val="001A15F6"/>
    <w:rsid w:val="00225AD3"/>
    <w:rsid w:val="00514DE2"/>
    <w:rsid w:val="00596714"/>
    <w:rsid w:val="006142A8"/>
    <w:rsid w:val="0062088C"/>
    <w:rsid w:val="006F7316"/>
    <w:rsid w:val="007B556A"/>
    <w:rsid w:val="00876125"/>
    <w:rsid w:val="00AF02EC"/>
    <w:rsid w:val="00AF7D9A"/>
    <w:rsid w:val="00BA233C"/>
    <w:rsid w:val="00BE602E"/>
    <w:rsid w:val="00C309EF"/>
    <w:rsid w:val="00CC3683"/>
    <w:rsid w:val="00E71C54"/>
    <w:rsid w:val="00EB5C1B"/>
    <w:rsid w:val="00ED2648"/>
    <w:rsid w:val="00F656B5"/>
    <w:rsid w:val="00F75A9A"/>
    <w:rsid w:val="00F76A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5AD3"/>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D2648"/>
    <w:rPr>
      <w:color w:val="0000FF" w:themeColor="hyperlink"/>
      <w:u w:val="single"/>
    </w:rPr>
  </w:style>
  <w:style w:type="paragraph" w:styleId="Header">
    <w:name w:val="header"/>
    <w:basedOn w:val="Normal"/>
    <w:link w:val="HeaderChar"/>
    <w:uiPriority w:val="99"/>
    <w:unhideWhenUsed/>
    <w:rsid w:val="00ED26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2648"/>
  </w:style>
  <w:style w:type="paragraph" w:styleId="Footer">
    <w:name w:val="footer"/>
    <w:basedOn w:val="Normal"/>
    <w:link w:val="FooterChar"/>
    <w:uiPriority w:val="99"/>
    <w:semiHidden/>
    <w:unhideWhenUsed/>
    <w:rsid w:val="00ED264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D2648"/>
  </w:style>
  <w:style w:type="paragraph" w:styleId="BalloonText">
    <w:name w:val="Balloon Text"/>
    <w:basedOn w:val="Normal"/>
    <w:link w:val="BalloonTextChar"/>
    <w:uiPriority w:val="99"/>
    <w:semiHidden/>
    <w:unhideWhenUsed/>
    <w:rsid w:val="00ED26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26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digiactive.org/wpcontent/uploads/Research4_SurveyReport2009.pdf" TargetMode="External" /><Relationship Id="rId5" Type="http://schemas.openxmlformats.org/officeDocument/2006/relationships/hyperlink" Target="http://goo.gl/fzFoC"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318</TotalTime>
  <Pages>7</Pages>
  <Words>1175</Words>
  <Characters>6701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2020-02-16T10:53:00Z</dcterms:created>
  <dcterms:modified xsi:type="dcterms:W3CDTF">2020-02-16T16:11:00Z</dcterms:modified>
</cp:coreProperties>
</file>